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Polityka prywatności (RODO)</w:t>
      </w:r>
    </w:p>
    <w:p>
      <w:pPr>
        <w:jc w:val="center"/>
      </w:pPr>
      <w:r>
        <w:rPr>
          <w:i/>
          <w:color w:val="666666"/>
          <w:sz w:val="18"/>
        </w:rPr>
        <w:t>Mood Nook sp. z o.o. · ul. Równa 19D, 80-067 Gdańsk</w:t>
        <w:br/>
        <w:t>Wersja robocza · 20.07.2026</w:t>
      </w:r>
    </w:p>
    <w:p/>
    <w:p>
      <w:r>
        <w:rPr>
          <w:i/>
          <w:color w:val="A00000"/>
          <w:sz w:val="18"/>
        </w:rPr>
        <w:t>UWAGA: Niniejszy dokument jest projektem (draftem) i wymaga weryfikacji prawnej przed użyciem produkcyjnym. Uzupełnij pola oznaczone [•] oraz dostosuj postanowienia do rzeczywistego zakresu świadczonych usług.</w:t>
      </w:r>
    </w:p>
    <w:p/>
    <w:p>
      <w:pPr>
        <w:pStyle w:val="Heading1"/>
      </w:pPr>
      <w:r>
        <w:t>1. Administrator danych</w:t>
      </w:r>
    </w:p>
    <w:p>
      <w:r>
        <w:t>Administratorem Twoich danych osobowych jest Mood Nook sp. z o.o. z siedzibą w Gdańsku, ul. Równa 19D, 80-067 Gdańsk, KRS [•], NIP [•].</w:t>
      </w:r>
    </w:p>
    <w:p>
      <w:r>
        <w:t>Kontakt w sprawach danych osobowych: rodo@moodnook.com.</w:t>
      </w:r>
    </w:p>
    <w:p>
      <w:pPr>
        <w:pStyle w:val="Heading1"/>
      </w:pPr>
      <w:r>
        <w:t>2. Podstawy prawne przetwarzania</w:t>
      </w:r>
    </w:p>
    <w:p>
      <w:pPr>
        <w:pStyle w:val="ListBullet"/>
      </w:pPr>
      <w:r>
        <w:t>art. 6 ust. 1 lit. b RODO — wykonanie umowy (świadczenie usług)</w:t>
      </w:r>
    </w:p>
    <w:p>
      <w:pPr>
        <w:pStyle w:val="ListBullet"/>
      </w:pPr>
      <w:r>
        <w:t>art. 6 ust. 1 lit. c RODO — obowiązek prawny (księgowość, podatki)</w:t>
      </w:r>
    </w:p>
    <w:p>
      <w:pPr>
        <w:pStyle w:val="ListBullet"/>
      </w:pPr>
      <w:r>
        <w:t>art. 6 ust. 1 lit. f RODO — prawnie uzasadniony interes (marketing bezpośredni, obrona roszczeń, bezpieczeństwo)</w:t>
      </w:r>
    </w:p>
    <w:p>
      <w:pPr>
        <w:pStyle w:val="ListBullet"/>
      </w:pPr>
      <w:r>
        <w:t>art. 6 ust. 1 lit. a RODO — zgoda (newsletter, cookies marketingowe, AI receptionist transcripts)</w:t>
      </w:r>
    </w:p>
    <w:p>
      <w:pPr>
        <w:pStyle w:val="Heading1"/>
      </w:pPr>
      <w:r>
        <w:t>3. Zakres zbieranych danych</w:t>
      </w:r>
    </w:p>
    <w:p>
      <w:pPr>
        <w:pStyle w:val="ListBullet"/>
      </w:pPr>
      <w:r>
        <w:t>Dane identyfikacyjne: imię, nazwisko, nazwa firmy, NIP, adres</w:t>
      </w:r>
    </w:p>
    <w:p>
      <w:pPr>
        <w:pStyle w:val="ListBullet"/>
      </w:pPr>
      <w:r>
        <w:t>Dane kontaktowe: e-mail, telefon</w:t>
      </w:r>
    </w:p>
    <w:p>
      <w:pPr>
        <w:pStyle w:val="ListBullet"/>
      </w:pPr>
      <w:r>
        <w:t>Dane rozliczeniowe: numer rachunku, historia płatności</w:t>
      </w:r>
    </w:p>
    <w:p>
      <w:pPr>
        <w:pStyle w:val="ListBullet"/>
      </w:pPr>
      <w:r>
        <w:t>Dane techniczne: adres IP, cookies, logi wejść (UniFi Access), Wi-Fi</w:t>
      </w:r>
    </w:p>
    <w:p>
      <w:pPr>
        <w:pStyle w:val="ListBullet"/>
      </w:pPr>
      <w:r>
        <w:t>Treść korespondencji, transkrypty rozmów z AI recepcją, nagrania z monitoringu części wspólnych</w:t>
      </w:r>
    </w:p>
    <w:p>
      <w:pPr>
        <w:pStyle w:val="Heading1"/>
      </w:pPr>
      <w:r>
        <w:t>4. Cele przetwarzania</w:t>
      </w:r>
    </w:p>
    <w:p>
      <w:pPr>
        <w:pStyle w:val="ListBullet"/>
      </w:pPr>
      <w:r>
        <w:t>Świadczenie usług wirtualnego biura, sal, coworkingu, obsługi poczty</w:t>
      </w:r>
    </w:p>
    <w:p>
      <w:pPr>
        <w:pStyle w:val="ListBullet"/>
      </w:pPr>
      <w:r>
        <w:t>Wystawianie faktur i prowadzenie księgowości</w:t>
      </w:r>
    </w:p>
    <w:p>
      <w:pPr>
        <w:pStyle w:val="ListBullet"/>
      </w:pPr>
      <w:r>
        <w:t>Obsługa reklamacji i zapytań</w:t>
      </w:r>
    </w:p>
    <w:p>
      <w:pPr>
        <w:pStyle w:val="ListBullet"/>
      </w:pPr>
      <w:r>
        <w:t>Bezpieczeństwo obiektu (monitoring, kontrola dostępu)</w:t>
      </w:r>
    </w:p>
    <w:p>
      <w:pPr>
        <w:pStyle w:val="ListBullet"/>
      </w:pPr>
      <w:r>
        <w:t>Marketing własnych usług (za zgodą)</w:t>
      </w:r>
    </w:p>
    <w:p>
      <w:pPr>
        <w:pStyle w:val="Heading1"/>
      </w:pPr>
      <w:r>
        <w:t>5. Okres przechowywania</w:t>
      </w:r>
    </w:p>
    <w:p>
      <w:pPr>
        <w:pStyle w:val="ListBullet"/>
      </w:pPr>
      <w:r>
        <w:t>Dane umowne — okres trwania umowy + 6 lat (przedawnienie i obowiązki księgowe)</w:t>
      </w:r>
    </w:p>
    <w:p>
      <w:pPr>
        <w:pStyle w:val="ListBullet"/>
      </w:pPr>
      <w:r>
        <w:t>Faktury — 5 lat od końca roku podatkowego</w:t>
      </w:r>
    </w:p>
    <w:p>
      <w:pPr>
        <w:pStyle w:val="ListBullet"/>
      </w:pPr>
      <w:r>
        <w:t>Transkrypty AI — 90 dni</w:t>
      </w:r>
    </w:p>
    <w:p>
      <w:pPr>
        <w:pStyle w:val="ListBullet"/>
      </w:pPr>
      <w:r>
        <w:t>Nagrania z monitoringu — do 30 dni</w:t>
      </w:r>
    </w:p>
    <w:p>
      <w:pPr>
        <w:pStyle w:val="ListBullet"/>
      </w:pPr>
      <w:r>
        <w:t>Dane marketingowe — do wycofania zgody</w:t>
      </w:r>
    </w:p>
    <w:p>
      <w:pPr>
        <w:pStyle w:val="Heading1"/>
      </w:pPr>
      <w:r>
        <w:t>6. Odbiorcy danych</w:t>
      </w:r>
    </w:p>
    <w:p>
      <w:pPr>
        <w:pStyle w:val="ListBullet"/>
      </w:pPr>
      <w:r>
        <w:t>Dostawcy usług IT i hostingu (Supabase, Cloudflare, Microsoft 365)</w:t>
      </w:r>
    </w:p>
    <w:p>
      <w:pPr>
        <w:pStyle w:val="ListBullet"/>
      </w:pPr>
      <w:r>
        <w:t>Kancelaria księgowa i prawna</w:t>
      </w:r>
    </w:p>
    <w:p>
      <w:pPr>
        <w:pStyle w:val="ListBullet"/>
      </w:pPr>
      <w:r>
        <w:t>Kurierzy i operatorzy pocztowi (przy przesyłaniu korespondencji)</w:t>
      </w:r>
    </w:p>
    <w:p>
      <w:pPr>
        <w:pStyle w:val="ListBullet"/>
      </w:pPr>
      <w:r>
        <w:t>Organy państwowe na podstawie przepisów prawa</w:t>
      </w:r>
    </w:p>
    <w:p>
      <w:r>
        <w:t>Dane mogą być przekazywane do państw trzecich (poza EOG) wyłącznie z zastosowaniem odpowiednich zabezpieczeń (standardowe klauzule umowne).</w:t>
      </w:r>
    </w:p>
    <w:p>
      <w:pPr>
        <w:pStyle w:val="Heading1"/>
      </w:pPr>
      <w:r>
        <w:t>7. Twoje prawa</w:t>
      </w:r>
    </w:p>
    <w:p>
      <w:pPr>
        <w:pStyle w:val="ListBullet"/>
      </w:pPr>
      <w:r>
        <w:t>dostęp do danych i ich kopia</w:t>
      </w:r>
    </w:p>
    <w:p>
      <w:pPr>
        <w:pStyle w:val="ListBullet"/>
      </w:pPr>
      <w:r>
        <w:t>sprostowanie danych</w:t>
      </w:r>
    </w:p>
    <w:p>
      <w:pPr>
        <w:pStyle w:val="ListBullet"/>
      </w:pPr>
      <w:r>
        <w:t>usunięcie danych ('prawo do bycia zapomnianym')</w:t>
      </w:r>
    </w:p>
    <w:p>
      <w:pPr>
        <w:pStyle w:val="ListBullet"/>
      </w:pPr>
      <w:r>
        <w:t>ograniczenie przetwarzania</w:t>
      </w:r>
    </w:p>
    <w:p>
      <w:pPr>
        <w:pStyle w:val="ListBullet"/>
      </w:pPr>
      <w:r>
        <w:t>przenoszenie danych</w:t>
      </w:r>
    </w:p>
    <w:p>
      <w:pPr>
        <w:pStyle w:val="ListBullet"/>
      </w:pPr>
      <w:r>
        <w:t>sprzeciw wobec przetwarzania</w:t>
      </w:r>
    </w:p>
    <w:p>
      <w:pPr>
        <w:pStyle w:val="ListBullet"/>
      </w:pPr>
      <w:r>
        <w:t>wycofanie zgody w dowolnym momencie</w:t>
      </w:r>
    </w:p>
    <w:p>
      <w:pPr>
        <w:pStyle w:val="ListBullet"/>
      </w:pPr>
      <w:r>
        <w:t>skarga do Prezesa Urzędu Ochrony Danych Osobowych (uodo.gov.pl)</w:t>
      </w:r>
    </w:p>
    <w:p>
      <w:pPr>
        <w:pStyle w:val="Heading1"/>
      </w:pPr>
      <w:r>
        <w:t>8. Cookies i technologie śledzące</w:t>
      </w:r>
    </w:p>
    <w:p>
      <w:r>
        <w:t>Strona wykorzystuje pliki cookies niezbędne do działania oraz — za zgodą — analityczne i marketingowe.</w:t>
      </w:r>
    </w:p>
    <w:p>
      <w:r>
        <w:t>Ustawienia cookies można zmienić w każdej chwili w banerze zgód lub w przeglądarce.</w:t>
      </w:r>
    </w:p>
    <w:p>
      <w:pPr>
        <w:pStyle w:val="Heading1"/>
      </w:pPr>
      <w:r>
        <w:t>9. Zautomatyzowane podejmowanie decyzji</w:t>
      </w:r>
    </w:p>
    <w:p>
      <w:r>
        <w:t>AI Recepcja odpowiada na zapytania klientów i klasyfikuje je jako leady. Nie jest to zautomatyzowane podejmowanie decyzji wywołujących skutki prawne — każde zapytanie może być przekazane do konsultanta.</w:t>
      </w:r>
    </w:p>
    <w:p>
      <w:pPr>
        <w:pStyle w:val="Heading1"/>
      </w:pPr>
      <w:r>
        <w:t>10. Zmiany polityki</w:t>
      </w:r>
    </w:p>
    <w:p>
      <w:r>
        <w:t>Polityka obowiązuje od 20.07.2026. O istotnych zmianach informujemy z 14-dniowym wyprzedzeniem.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